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B7063" w14:textId="77777777" w:rsidR="00417414" w:rsidRDefault="00417414" w:rsidP="00417414">
      <w:pPr>
        <w:rPr>
          <w:b/>
          <w:u w:val="single"/>
        </w:rPr>
      </w:pPr>
    </w:p>
    <w:p w14:paraId="38A349ED" w14:textId="77777777" w:rsidR="00417414" w:rsidRPr="008F127C" w:rsidRDefault="00417414" w:rsidP="00417414">
      <w:pPr>
        <w:jc w:val="center"/>
        <w:rPr>
          <w:b/>
          <w:i/>
          <w:szCs w:val="20"/>
          <w:u w:val="single"/>
        </w:rPr>
      </w:pPr>
      <w:r w:rsidRPr="008F127C">
        <w:rPr>
          <w:b/>
          <w:i/>
          <w:sz w:val="28"/>
          <w:szCs w:val="20"/>
          <w:u w:val="single"/>
        </w:rPr>
        <w:t>UNIVERSITY OF CALIFORNIA, SANTA CRUZ (UCSC)</w:t>
      </w:r>
    </w:p>
    <w:p w14:paraId="6B57D945" w14:textId="77777777" w:rsidR="00417414" w:rsidRPr="008F127C" w:rsidRDefault="00417414" w:rsidP="00417414">
      <w:pPr>
        <w:jc w:val="center"/>
        <w:rPr>
          <w:b/>
          <w:szCs w:val="20"/>
        </w:rPr>
      </w:pPr>
      <w:r w:rsidRPr="008F127C">
        <w:rPr>
          <w:b/>
          <w:szCs w:val="20"/>
        </w:rPr>
        <w:t xml:space="preserve">INSURANCE REQUIREMENTS FOR USE OF CAMPUS FACILITIES </w:t>
      </w:r>
    </w:p>
    <w:p w14:paraId="2437138B" w14:textId="6C9D8953" w:rsidR="00417414" w:rsidRPr="008F127C" w:rsidRDefault="00417414" w:rsidP="00417414">
      <w:pPr>
        <w:jc w:val="center"/>
        <w:rPr>
          <w:b/>
          <w:szCs w:val="20"/>
        </w:rPr>
      </w:pPr>
      <w:r w:rsidRPr="008F127C">
        <w:rPr>
          <w:b/>
          <w:szCs w:val="20"/>
        </w:rPr>
        <w:t xml:space="preserve">BY </w:t>
      </w:r>
      <w:r w:rsidRPr="004C7AEE">
        <w:rPr>
          <w:b/>
          <w:szCs w:val="20"/>
          <w:u w:val="single"/>
        </w:rPr>
        <w:t>OUTSIDE VENDORS</w:t>
      </w:r>
    </w:p>
    <w:p w14:paraId="6FF58F7D" w14:textId="77777777" w:rsidR="00417414" w:rsidRPr="008F127C" w:rsidRDefault="00417414" w:rsidP="00417414">
      <w:pPr>
        <w:jc w:val="center"/>
        <w:rPr>
          <w:b/>
          <w:szCs w:val="20"/>
        </w:rPr>
      </w:pPr>
    </w:p>
    <w:p w14:paraId="052F270E" w14:textId="516D829F" w:rsidR="00D24FBD" w:rsidRDefault="00417414" w:rsidP="00417414">
      <w:pPr>
        <w:jc w:val="both"/>
        <w:rPr>
          <w:sz w:val="22"/>
          <w:szCs w:val="22"/>
        </w:rPr>
      </w:pPr>
      <w:r w:rsidRPr="00363C5E">
        <w:rPr>
          <w:sz w:val="22"/>
          <w:szCs w:val="22"/>
        </w:rPr>
        <w:t xml:space="preserve">Per University policy, outside </w:t>
      </w:r>
      <w:r>
        <w:rPr>
          <w:sz w:val="22"/>
          <w:szCs w:val="22"/>
        </w:rPr>
        <w:t>VENDORS</w:t>
      </w:r>
      <w:r w:rsidRPr="00363C5E">
        <w:rPr>
          <w:sz w:val="22"/>
          <w:szCs w:val="22"/>
        </w:rPr>
        <w:t xml:space="preserve"> and groups using any UCSC facilities are required to maintain throughout the period of such use and at the sole cost and expense of such </w:t>
      </w:r>
      <w:r>
        <w:rPr>
          <w:sz w:val="22"/>
          <w:szCs w:val="22"/>
        </w:rPr>
        <w:t>VENDOR</w:t>
      </w:r>
      <w:r w:rsidRPr="00363C5E">
        <w:rPr>
          <w:sz w:val="22"/>
          <w:szCs w:val="22"/>
        </w:rPr>
        <w:t xml:space="preserve">(s) or group(s), a policy or policies of general liability insurance protecting both the outside </w:t>
      </w:r>
      <w:r>
        <w:rPr>
          <w:sz w:val="22"/>
          <w:szCs w:val="22"/>
        </w:rPr>
        <w:t>VENDOR</w:t>
      </w:r>
      <w:r w:rsidRPr="00363C5E">
        <w:rPr>
          <w:sz w:val="22"/>
          <w:szCs w:val="22"/>
        </w:rPr>
        <w:t xml:space="preserve">(s) or group(s) and the Regents of the University of California (Regents) from any and all claims, demands, judgments, awards and lawsuits arising out of use of UCSC facilities.  The limits of liability of such policy or policies of general liability insurance shall not be less than those specified below.  The insurance limits specified below do not limit the liability of the </w:t>
      </w:r>
      <w:r>
        <w:rPr>
          <w:sz w:val="22"/>
          <w:szCs w:val="22"/>
        </w:rPr>
        <w:t>VENDOR</w:t>
      </w:r>
      <w:r w:rsidRPr="00363C5E">
        <w:rPr>
          <w:sz w:val="22"/>
          <w:szCs w:val="22"/>
        </w:rPr>
        <w:t xml:space="preserve"> or group in any manner, and such limits are subject to modification by the campus Risk Manager as may be required by risks associated with the intended use of campus facilities.   </w:t>
      </w:r>
    </w:p>
    <w:p w14:paraId="1F4A2214" w14:textId="77777777" w:rsidR="00D24FBD" w:rsidRDefault="00D24FBD" w:rsidP="00D24FBD">
      <w:pPr>
        <w:ind w:left="720"/>
        <w:jc w:val="both"/>
        <w:rPr>
          <w:sz w:val="22"/>
          <w:szCs w:val="22"/>
        </w:rPr>
      </w:pPr>
    </w:p>
    <w:p w14:paraId="7A0A18E0" w14:textId="4C5AC612" w:rsidR="00D24FBD" w:rsidRDefault="00D24FBD" w:rsidP="00D24FBD">
      <w:pPr>
        <w:ind w:left="720"/>
        <w:jc w:val="both"/>
        <w:rPr>
          <w:b/>
          <w:sz w:val="22"/>
          <w:szCs w:val="22"/>
          <w:highlight w:val="yellow"/>
        </w:rPr>
      </w:pPr>
      <w:r>
        <w:rPr>
          <w:b/>
          <w:sz w:val="22"/>
          <w:szCs w:val="22"/>
          <w:highlight w:val="yellow"/>
        </w:rPr>
        <w:t xml:space="preserve">Certificates of Insurance </w:t>
      </w:r>
      <w:r w:rsidRPr="002F7FFB">
        <w:rPr>
          <w:b/>
          <w:sz w:val="22"/>
          <w:szCs w:val="22"/>
          <w:highlight w:val="yellow"/>
        </w:rPr>
        <w:t>MUST REFERENCE</w:t>
      </w:r>
      <w:r>
        <w:rPr>
          <w:b/>
          <w:sz w:val="22"/>
          <w:szCs w:val="22"/>
          <w:highlight w:val="yellow"/>
        </w:rPr>
        <w:t>: (in Description section)</w:t>
      </w:r>
    </w:p>
    <w:p w14:paraId="706951BE" w14:textId="77777777" w:rsidR="00D24FBD" w:rsidRDefault="00D24FBD" w:rsidP="00D24FBD">
      <w:pPr>
        <w:ind w:left="720"/>
        <w:jc w:val="both"/>
        <w:rPr>
          <w:sz w:val="22"/>
          <w:szCs w:val="22"/>
          <w:highlight w:val="yellow"/>
        </w:rPr>
      </w:pPr>
      <w:r w:rsidRPr="002F7FFB">
        <w:rPr>
          <w:sz w:val="22"/>
          <w:szCs w:val="22"/>
          <w:highlight w:val="yellow"/>
        </w:rPr>
        <w:t xml:space="preserve"> (1) the event or ty</w:t>
      </w:r>
      <w:r>
        <w:rPr>
          <w:sz w:val="22"/>
          <w:szCs w:val="22"/>
          <w:highlight w:val="yellow"/>
        </w:rPr>
        <w:t xml:space="preserve">pe of use of campus facilities (wedding, conference, lecture </w:t>
      </w:r>
      <w:proofErr w:type="spellStart"/>
      <w:r>
        <w:rPr>
          <w:sz w:val="22"/>
          <w:szCs w:val="22"/>
          <w:highlight w:val="yellow"/>
        </w:rPr>
        <w:t>etc</w:t>
      </w:r>
      <w:proofErr w:type="spellEnd"/>
      <w:r>
        <w:rPr>
          <w:sz w:val="22"/>
          <w:szCs w:val="22"/>
          <w:highlight w:val="yellow"/>
        </w:rPr>
        <w:t>)</w:t>
      </w:r>
    </w:p>
    <w:p w14:paraId="1371D658" w14:textId="77777777" w:rsidR="00D24FBD" w:rsidRDefault="00D24FBD" w:rsidP="00D24FBD">
      <w:pPr>
        <w:ind w:left="720"/>
        <w:jc w:val="both"/>
        <w:rPr>
          <w:sz w:val="22"/>
          <w:szCs w:val="22"/>
          <w:highlight w:val="yellow"/>
        </w:rPr>
      </w:pPr>
      <w:r w:rsidRPr="002F7FFB">
        <w:rPr>
          <w:sz w:val="22"/>
          <w:szCs w:val="22"/>
          <w:highlight w:val="yellow"/>
        </w:rPr>
        <w:t xml:space="preserve">(2) the date(s) of such use or event, </w:t>
      </w:r>
    </w:p>
    <w:p w14:paraId="1138AC3D" w14:textId="598EACE9" w:rsidR="00D24FBD" w:rsidRDefault="00D24FBD" w:rsidP="00D24FBD">
      <w:pPr>
        <w:ind w:left="720"/>
        <w:jc w:val="both"/>
        <w:rPr>
          <w:sz w:val="22"/>
          <w:szCs w:val="22"/>
          <w:highlight w:val="yellow"/>
        </w:rPr>
      </w:pPr>
      <w:r w:rsidRPr="002F7FFB">
        <w:rPr>
          <w:sz w:val="22"/>
          <w:szCs w:val="22"/>
          <w:highlight w:val="yellow"/>
        </w:rPr>
        <w:t xml:space="preserve">(3) the UCSC Department/Unit sponsoring the event or </w:t>
      </w:r>
      <w:r w:rsidRPr="002F7FFB">
        <w:rPr>
          <w:b/>
          <w:sz w:val="22"/>
          <w:szCs w:val="22"/>
          <w:highlight w:val="yellow"/>
        </w:rPr>
        <w:t>approving</w:t>
      </w:r>
      <w:r w:rsidRPr="002F7FFB">
        <w:rPr>
          <w:sz w:val="22"/>
          <w:szCs w:val="22"/>
          <w:highlight w:val="yellow"/>
        </w:rPr>
        <w:t xml:space="preserve"> the use</w:t>
      </w:r>
      <w:r>
        <w:rPr>
          <w:sz w:val="22"/>
          <w:szCs w:val="22"/>
          <w:highlight w:val="yellow"/>
        </w:rPr>
        <w:t xml:space="preserve">:  </w:t>
      </w:r>
      <w:r w:rsidRPr="00D24FBD">
        <w:rPr>
          <w:sz w:val="22"/>
          <w:szCs w:val="22"/>
          <w:highlight w:val="yellow"/>
          <w:u w:val="single"/>
        </w:rPr>
        <w:t>CASFS/Hay Barn</w:t>
      </w:r>
    </w:p>
    <w:p w14:paraId="46345177" w14:textId="516C7B38" w:rsidR="00D24FBD" w:rsidRDefault="00D24FBD" w:rsidP="00D24FBD">
      <w:pPr>
        <w:ind w:left="720"/>
        <w:jc w:val="both"/>
        <w:rPr>
          <w:sz w:val="22"/>
          <w:szCs w:val="22"/>
          <w:highlight w:val="yellow"/>
        </w:rPr>
      </w:pPr>
      <w:r w:rsidRPr="002F7FFB">
        <w:rPr>
          <w:sz w:val="22"/>
          <w:szCs w:val="22"/>
          <w:highlight w:val="yellow"/>
        </w:rPr>
        <w:t xml:space="preserve">(4) the name and phone number of the group or VENDOR’s UCSC Department/Unit </w:t>
      </w:r>
      <w:r w:rsidRPr="002F7FFB">
        <w:rPr>
          <w:b/>
          <w:sz w:val="22"/>
          <w:szCs w:val="22"/>
          <w:highlight w:val="yellow"/>
        </w:rPr>
        <w:t>contact</w:t>
      </w:r>
      <w:r w:rsidRPr="002F7FFB">
        <w:rPr>
          <w:sz w:val="22"/>
          <w:szCs w:val="22"/>
          <w:highlight w:val="yellow"/>
        </w:rPr>
        <w:t xml:space="preserve"> (CASFS/Hay Barn, attn.: Heidi Harris, Coordinator </w:t>
      </w:r>
      <w:r>
        <w:rPr>
          <w:sz w:val="22"/>
          <w:szCs w:val="22"/>
          <w:highlight w:val="yellow"/>
        </w:rPr>
        <w:t>831/459-3762</w:t>
      </w:r>
    </w:p>
    <w:p w14:paraId="7CFA0977" w14:textId="0E309419" w:rsidR="00D24FBD" w:rsidRDefault="00D24FBD" w:rsidP="00D24FBD">
      <w:pPr>
        <w:ind w:firstLine="720"/>
        <w:jc w:val="both"/>
        <w:rPr>
          <w:sz w:val="22"/>
          <w:szCs w:val="22"/>
        </w:rPr>
      </w:pPr>
      <w:r w:rsidRPr="002F7FFB">
        <w:rPr>
          <w:sz w:val="22"/>
          <w:szCs w:val="22"/>
          <w:highlight w:val="yellow"/>
        </w:rPr>
        <w:t>(5) the name and phone number of the VENDOR or group</w:t>
      </w:r>
      <w:r>
        <w:rPr>
          <w:sz w:val="22"/>
          <w:szCs w:val="22"/>
          <w:highlight w:val="yellow"/>
        </w:rPr>
        <w:t xml:space="preserve"> contact: </w:t>
      </w:r>
    </w:p>
    <w:p w14:paraId="7138DEAE" w14:textId="77777777" w:rsidR="00D24FBD" w:rsidRDefault="00D24FBD" w:rsidP="00D24FBD">
      <w:pPr>
        <w:ind w:firstLine="720"/>
        <w:jc w:val="both"/>
        <w:rPr>
          <w:sz w:val="22"/>
          <w:szCs w:val="22"/>
        </w:rPr>
      </w:pPr>
    </w:p>
    <w:p w14:paraId="5BCA3FB2" w14:textId="77777777" w:rsidR="008B71BF" w:rsidRPr="008B71BF" w:rsidRDefault="00417414" w:rsidP="008B71BF">
      <w:pPr>
        <w:ind w:left="90"/>
        <w:jc w:val="both"/>
        <w:rPr>
          <w:color w:val="000000" w:themeColor="text1"/>
          <w:sz w:val="22"/>
          <w:szCs w:val="22"/>
        </w:rPr>
      </w:pPr>
      <w:r w:rsidRPr="00D24FBD">
        <w:rPr>
          <w:i/>
          <w:color w:val="000000" w:themeColor="text1"/>
          <w:sz w:val="28"/>
          <w:szCs w:val="28"/>
        </w:rPr>
        <w:t xml:space="preserve">No less than </w:t>
      </w:r>
      <w:r w:rsidR="002F7FFB" w:rsidRPr="00D24FBD">
        <w:rPr>
          <w:b/>
          <w:i/>
          <w:color w:val="000000" w:themeColor="text1"/>
          <w:sz w:val="28"/>
          <w:szCs w:val="28"/>
        </w:rPr>
        <w:t>thirty (30)</w:t>
      </w:r>
      <w:r w:rsidRPr="00D24FBD">
        <w:rPr>
          <w:b/>
          <w:i/>
          <w:color w:val="000000" w:themeColor="text1"/>
          <w:sz w:val="28"/>
          <w:szCs w:val="28"/>
        </w:rPr>
        <w:t xml:space="preserve"> business days</w:t>
      </w:r>
      <w:r w:rsidRPr="00D24FBD">
        <w:rPr>
          <w:i/>
          <w:color w:val="000000" w:themeColor="text1"/>
          <w:sz w:val="28"/>
          <w:szCs w:val="28"/>
        </w:rPr>
        <w:t xml:space="preserve"> prior</w:t>
      </w:r>
      <w:r w:rsidRPr="008B71BF">
        <w:rPr>
          <w:i/>
          <w:color w:val="000000" w:themeColor="text1"/>
          <w:sz w:val="22"/>
          <w:szCs w:val="22"/>
        </w:rPr>
        <w:t xml:space="preserve"> to an outside VENDOR’s or group’s first use of UCSC facilities,</w:t>
      </w:r>
      <w:r w:rsidRPr="008B71BF">
        <w:rPr>
          <w:color w:val="000000" w:themeColor="text1"/>
          <w:sz w:val="22"/>
          <w:szCs w:val="22"/>
        </w:rPr>
        <w:t xml:space="preserve"> the VENDOR or group is required to provide UCSC with two documents: </w:t>
      </w:r>
    </w:p>
    <w:p w14:paraId="56272AF1" w14:textId="655C5A54" w:rsidR="002D34F5" w:rsidRPr="00290A37" w:rsidRDefault="00D24FBD" w:rsidP="002D34F5">
      <w:pPr>
        <w:pStyle w:val="ListParagraph"/>
        <w:numPr>
          <w:ilvl w:val="0"/>
          <w:numId w:val="3"/>
        </w:numPr>
        <w:jc w:val="both"/>
        <w:rPr>
          <w:color w:val="000000" w:themeColor="text1"/>
        </w:rPr>
      </w:pPr>
      <w:r w:rsidRPr="00D24FBD">
        <w:rPr>
          <w:color w:val="FF0000"/>
          <w:sz w:val="28"/>
          <w:szCs w:val="28"/>
        </w:rPr>
        <w:t>A</w:t>
      </w:r>
      <w:r w:rsidR="00417414" w:rsidRPr="00D24FBD">
        <w:rPr>
          <w:color w:val="FF0000"/>
          <w:sz w:val="28"/>
          <w:szCs w:val="28"/>
        </w:rPr>
        <w:t xml:space="preserve"> </w:t>
      </w:r>
      <w:r w:rsidR="00417414" w:rsidRPr="00D24FBD">
        <w:rPr>
          <w:b/>
          <w:color w:val="FF0000"/>
          <w:sz w:val="28"/>
          <w:szCs w:val="28"/>
        </w:rPr>
        <w:t>certificate or certificates of insurance</w:t>
      </w:r>
      <w:r w:rsidR="00417414" w:rsidRPr="002D34F5">
        <w:rPr>
          <w:color w:val="FF0000"/>
          <w:sz w:val="22"/>
          <w:szCs w:val="22"/>
        </w:rPr>
        <w:t xml:space="preserve"> evidencing the following insurance coverages, with the minimal limits specified below, in full force and effect, </w:t>
      </w:r>
      <w:r w:rsidR="002D34F5" w:rsidRPr="002D34F5">
        <w:rPr>
          <w:color w:val="FF0000"/>
        </w:rPr>
        <w:t xml:space="preserve">name </w:t>
      </w:r>
      <w:r w:rsidR="002D34F5" w:rsidRPr="00A75AF7">
        <w:rPr>
          <w:b/>
          <w:color w:val="365F91" w:themeColor="accent1" w:themeShade="BF"/>
        </w:rPr>
        <w:t xml:space="preserve">the </w:t>
      </w:r>
      <w:r w:rsidR="002D34F5" w:rsidRPr="00A75AF7">
        <w:rPr>
          <w:b/>
          <w:i/>
          <w:color w:val="365F91" w:themeColor="accent1" w:themeShade="BF"/>
          <w:u w:val="single"/>
        </w:rPr>
        <w:t>Certificate Holder</w:t>
      </w:r>
      <w:r w:rsidR="002D34F5" w:rsidRPr="00A75AF7">
        <w:rPr>
          <w:b/>
          <w:color w:val="365F91" w:themeColor="accent1" w:themeShade="BF"/>
        </w:rPr>
        <w:t xml:space="preserve"> </w:t>
      </w:r>
      <w:r w:rsidR="002D34F5" w:rsidRPr="002D34F5">
        <w:rPr>
          <w:color w:val="FF0000"/>
        </w:rPr>
        <w:t>as The Regents of the University of California with the following address</w:t>
      </w:r>
      <w:r w:rsidR="002D34F5" w:rsidRPr="00D214EB">
        <w:t xml:space="preserve">: </w:t>
      </w:r>
      <w:r w:rsidR="002D34F5">
        <w:t>CASFS/Hay Barn, ATTN:</w:t>
      </w:r>
      <w:r w:rsidR="002D34F5" w:rsidRPr="00665735">
        <w:t xml:space="preserve"> </w:t>
      </w:r>
      <w:r w:rsidR="002D34F5">
        <w:t xml:space="preserve">Heidi Harris, </w:t>
      </w:r>
      <w:r w:rsidR="002D34F5" w:rsidRPr="00D214EB">
        <w:t xml:space="preserve">1156 High Street, Santa Cruz CA </w:t>
      </w:r>
      <w:r w:rsidR="002D34F5" w:rsidRPr="00290A37">
        <w:rPr>
          <w:color w:val="000000" w:themeColor="text1"/>
        </w:rPr>
        <w:t>95064.</w:t>
      </w:r>
    </w:p>
    <w:p w14:paraId="3D576160" w14:textId="77777777" w:rsidR="008B71BF" w:rsidRPr="00290A37" w:rsidRDefault="008B71BF" w:rsidP="002D34F5">
      <w:pPr>
        <w:pStyle w:val="ListParagraph"/>
        <w:ind w:left="810"/>
        <w:rPr>
          <w:color w:val="000000" w:themeColor="text1"/>
          <w:sz w:val="22"/>
          <w:szCs w:val="22"/>
        </w:rPr>
      </w:pPr>
    </w:p>
    <w:p w14:paraId="0C9D07EE" w14:textId="5F123CA1" w:rsidR="00417414" w:rsidRPr="008B71BF" w:rsidRDefault="00293146" w:rsidP="00290A37">
      <w:pPr>
        <w:pStyle w:val="ListParagraph"/>
        <w:numPr>
          <w:ilvl w:val="0"/>
          <w:numId w:val="3"/>
        </w:numPr>
        <w:rPr>
          <w:color w:val="FF0000"/>
          <w:sz w:val="22"/>
          <w:szCs w:val="22"/>
        </w:rPr>
      </w:pPr>
      <w:r>
        <w:rPr>
          <w:color w:val="FF0000"/>
          <w:sz w:val="28"/>
          <w:szCs w:val="28"/>
        </w:rPr>
        <w:t>A</w:t>
      </w:r>
      <w:r w:rsidR="00417414" w:rsidRPr="00D24FBD">
        <w:rPr>
          <w:color w:val="FF0000"/>
          <w:sz w:val="28"/>
          <w:szCs w:val="28"/>
        </w:rPr>
        <w:t xml:space="preserve"> copy of the </w:t>
      </w:r>
      <w:r w:rsidR="00417414" w:rsidRPr="00D24FBD">
        <w:rPr>
          <w:b/>
          <w:bCs/>
          <w:color w:val="FF0000"/>
          <w:sz w:val="28"/>
          <w:szCs w:val="28"/>
          <w:u w:val="single"/>
        </w:rPr>
        <w:t>additional insured endorsement</w:t>
      </w:r>
      <w:r w:rsidR="00417414" w:rsidRPr="008B71BF">
        <w:rPr>
          <w:color w:val="FF0000"/>
          <w:sz w:val="22"/>
          <w:szCs w:val="22"/>
        </w:rPr>
        <w:t xml:space="preserve"> that the policy or policies of general liability insurance have been endorsed to: </w:t>
      </w:r>
    </w:p>
    <w:p w14:paraId="6FFE092F" w14:textId="77777777" w:rsidR="00052F16" w:rsidRDefault="00417414" w:rsidP="00D24FBD">
      <w:pPr>
        <w:ind w:left="1440" w:right="720"/>
        <w:jc w:val="both"/>
        <w:rPr>
          <w:sz w:val="22"/>
          <w:szCs w:val="22"/>
        </w:rPr>
      </w:pPr>
      <w:r w:rsidRPr="00363C5E">
        <w:rPr>
          <w:sz w:val="22"/>
          <w:szCs w:val="22"/>
        </w:rPr>
        <w:t xml:space="preserve">(1)  Name the </w:t>
      </w:r>
      <w:r w:rsidRPr="007F1C9A">
        <w:rPr>
          <w:b/>
          <w:bCs/>
          <w:sz w:val="22"/>
          <w:szCs w:val="22"/>
          <w:highlight w:val="cyan"/>
        </w:rPr>
        <w:t>Regents of the University of California</w:t>
      </w:r>
      <w:r w:rsidRPr="007F1C9A">
        <w:rPr>
          <w:sz w:val="22"/>
          <w:szCs w:val="22"/>
          <w:highlight w:val="cyan"/>
        </w:rPr>
        <w:t xml:space="preserve">, </w:t>
      </w:r>
      <w:r w:rsidRPr="007F1C9A">
        <w:rPr>
          <w:b/>
          <w:bCs/>
          <w:sz w:val="22"/>
          <w:szCs w:val="22"/>
          <w:highlight w:val="cyan"/>
        </w:rPr>
        <w:t>its officers, agents, and employees</w:t>
      </w:r>
      <w:r w:rsidRPr="00363C5E">
        <w:rPr>
          <w:sz w:val="22"/>
          <w:szCs w:val="22"/>
        </w:rPr>
        <w:t xml:space="preserve"> as insureds under the policy for all liability arising out of the outside </w:t>
      </w:r>
      <w:r>
        <w:rPr>
          <w:sz w:val="22"/>
          <w:szCs w:val="22"/>
        </w:rPr>
        <w:t>VENDOR</w:t>
      </w:r>
      <w:r w:rsidRPr="00363C5E">
        <w:rPr>
          <w:sz w:val="22"/>
          <w:szCs w:val="22"/>
        </w:rPr>
        <w:t>’s or group’s use of UCSC facilities,</w:t>
      </w:r>
    </w:p>
    <w:p w14:paraId="7F45E676" w14:textId="5112FED1" w:rsidR="00417414" w:rsidRDefault="00417414" w:rsidP="00D24FBD">
      <w:pPr>
        <w:ind w:left="1440" w:right="720" w:firstLine="720"/>
        <w:jc w:val="both"/>
        <w:rPr>
          <w:rFonts w:ascii="Century Schoolbook" w:hAnsi="Century Schoolbook"/>
          <w:sz w:val="22"/>
          <w:szCs w:val="22"/>
        </w:rPr>
      </w:pPr>
      <w:r w:rsidRPr="00363C5E">
        <w:rPr>
          <w:sz w:val="22"/>
          <w:szCs w:val="22"/>
        </w:rPr>
        <w:t xml:space="preserve"> </w:t>
      </w:r>
      <w:r w:rsidR="00052F16">
        <w:rPr>
          <w:sz w:val="22"/>
          <w:szCs w:val="22"/>
        </w:rPr>
        <w:t xml:space="preserve">AND </w:t>
      </w:r>
      <w:r w:rsidR="00052F16" w:rsidRPr="001B1413">
        <w:rPr>
          <w:rFonts w:ascii="Century Schoolbook" w:hAnsi="Century Schoolbook"/>
          <w:sz w:val="22"/>
          <w:szCs w:val="22"/>
          <w:highlight w:val="cyan"/>
        </w:rPr>
        <w:t>t</w:t>
      </w:r>
      <w:r w:rsidR="00052F16" w:rsidRPr="001B1413">
        <w:rPr>
          <w:rFonts w:ascii="Century Schoolbook" w:hAnsi="Century Schoolbook"/>
          <w:b/>
          <w:sz w:val="22"/>
          <w:szCs w:val="22"/>
          <w:highlight w:val="cyan"/>
        </w:rPr>
        <w:t>he APPLICANT</w:t>
      </w:r>
      <w:r w:rsidR="00052F16">
        <w:rPr>
          <w:rFonts w:ascii="Century Schoolbook" w:hAnsi="Century Schoolbook"/>
          <w:b/>
          <w:sz w:val="22"/>
          <w:szCs w:val="22"/>
          <w:highlight w:val="cyan"/>
        </w:rPr>
        <w:t>/EVENT HOLDER (by name)</w:t>
      </w:r>
      <w:r w:rsidR="00052F16" w:rsidRPr="001B1413">
        <w:rPr>
          <w:rFonts w:ascii="Century Schoolbook" w:hAnsi="Century Schoolbook"/>
          <w:b/>
          <w:sz w:val="22"/>
          <w:szCs w:val="22"/>
          <w:highlight w:val="cyan"/>
        </w:rPr>
        <w:t xml:space="preserve"> must also be named as an additional insured</w:t>
      </w:r>
      <w:r w:rsidR="00052F16" w:rsidRPr="001B1413">
        <w:rPr>
          <w:rFonts w:ascii="Century Schoolbook" w:hAnsi="Century Schoolbook"/>
          <w:sz w:val="22"/>
          <w:szCs w:val="22"/>
          <w:highlight w:val="cyan"/>
        </w:rPr>
        <w:t xml:space="preserve"> along with </w:t>
      </w:r>
      <w:r w:rsidR="00052F16" w:rsidRPr="001B1413">
        <w:rPr>
          <w:rFonts w:ascii="Century Schoolbook" w:hAnsi="Century Schoolbook"/>
          <w:b/>
          <w:sz w:val="22"/>
          <w:szCs w:val="22"/>
          <w:highlight w:val="cyan"/>
        </w:rPr>
        <w:t>The Regents of the University of California</w:t>
      </w:r>
      <w:r w:rsidR="00052F16" w:rsidRPr="001B1413">
        <w:rPr>
          <w:rFonts w:ascii="Century Schoolbook" w:hAnsi="Century Schoolbook"/>
          <w:sz w:val="22"/>
          <w:szCs w:val="22"/>
          <w:highlight w:val="cyan"/>
        </w:rPr>
        <w:t xml:space="preserve"> as outlined above</w:t>
      </w:r>
    </w:p>
    <w:p w14:paraId="60C67536" w14:textId="388B77ED" w:rsidR="00C07DBF" w:rsidRDefault="00C07DBF" w:rsidP="00D24FBD">
      <w:pPr>
        <w:ind w:left="1440" w:right="720" w:firstLine="720"/>
        <w:jc w:val="both"/>
        <w:rPr>
          <w:sz w:val="22"/>
          <w:szCs w:val="22"/>
        </w:rPr>
      </w:pPr>
    </w:p>
    <w:p w14:paraId="59849ABC" w14:textId="660CA8A0" w:rsidR="00C07DBF" w:rsidRPr="00363C5E" w:rsidRDefault="00C07DBF" w:rsidP="00D24FBD">
      <w:pPr>
        <w:ind w:left="1440" w:right="720" w:firstLine="720"/>
        <w:jc w:val="both"/>
        <w:rPr>
          <w:sz w:val="22"/>
          <w:szCs w:val="22"/>
        </w:rPr>
      </w:pPr>
      <w:r>
        <w:rPr>
          <w:sz w:val="22"/>
          <w:szCs w:val="22"/>
        </w:rPr>
        <w:t xml:space="preserve">*****Please note that The Regents of the University of California must be named by way of a </w:t>
      </w:r>
      <w:r w:rsidRPr="00C7004E">
        <w:rPr>
          <w:b/>
          <w:sz w:val="22"/>
          <w:szCs w:val="22"/>
        </w:rPr>
        <w:t>Designated</w:t>
      </w:r>
      <w:r>
        <w:rPr>
          <w:sz w:val="22"/>
          <w:szCs w:val="22"/>
        </w:rPr>
        <w:t xml:space="preserve"> Additional Insured endorsement. </w:t>
      </w:r>
      <w:r w:rsidR="00222550">
        <w:rPr>
          <w:sz w:val="22"/>
          <w:szCs w:val="22"/>
        </w:rPr>
        <w:t xml:space="preserve">If </w:t>
      </w:r>
      <w:r>
        <w:rPr>
          <w:sz w:val="22"/>
          <w:szCs w:val="22"/>
        </w:rPr>
        <w:t xml:space="preserve">The Regents of the University of California are named by way of a contractual requirement, the certificate will be </w:t>
      </w:r>
      <w:bookmarkStart w:id="0" w:name="_GoBack"/>
      <w:proofErr w:type="gramStart"/>
      <w:r w:rsidRPr="00C7004E">
        <w:rPr>
          <w:b/>
          <w:sz w:val="22"/>
          <w:szCs w:val="22"/>
        </w:rPr>
        <w:t>rejected</w:t>
      </w:r>
      <w:bookmarkEnd w:id="0"/>
      <w:r>
        <w:rPr>
          <w:sz w:val="22"/>
          <w:szCs w:val="22"/>
        </w:rPr>
        <w:t>.*</w:t>
      </w:r>
      <w:proofErr w:type="gramEnd"/>
      <w:r>
        <w:rPr>
          <w:sz w:val="22"/>
          <w:szCs w:val="22"/>
        </w:rPr>
        <w:t xml:space="preserve">**** </w:t>
      </w:r>
    </w:p>
    <w:p w14:paraId="37A73521" w14:textId="77777777" w:rsidR="00417414" w:rsidRPr="00363C5E" w:rsidRDefault="00417414" w:rsidP="00D24FBD">
      <w:pPr>
        <w:spacing w:before="120"/>
        <w:ind w:left="720" w:right="720"/>
        <w:jc w:val="both"/>
        <w:rPr>
          <w:sz w:val="22"/>
          <w:szCs w:val="22"/>
        </w:rPr>
      </w:pPr>
      <w:r w:rsidRPr="00363C5E">
        <w:rPr>
          <w:sz w:val="22"/>
          <w:szCs w:val="22"/>
        </w:rPr>
        <w:tab/>
        <w:t xml:space="preserve">(2)  Provide for thirty (30) days prior written notice of cancellation, </w:t>
      </w:r>
    </w:p>
    <w:p w14:paraId="24ADFAFF" w14:textId="7583C008" w:rsidR="00417414" w:rsidRPr="00363C5E" w:rsidRDefault="00417414" w:rsidP="00D24FBD">
      <w:pPr>
        <w:spacing w:before="120"/>
        <w:ind w:left="1440" w:right="720"/>
        <w:jc w:val="both"/>
        <w:rPr>
          <w:sz w:val="22"/>
          <w:szCs w:val="22"/>
        </w:rPr>
      </w:pPr>
      <w:r>
        <w:rPr>
          <w:sz w:val="22"/>
          <w:szCs w:val="22"/>
        </w:rPr>
        <w:t>(3)  Provide that the VENDOR</w:t>
      </w:r>
      <w:r w:rsidRPr="00363C5E">
        <w:rPr>
          <w:sz w:val="22"/>
          <w:szCs w:val="22"/>
        </w:rPr>
        <w:t xml:space="preserve">’s insurance shall be primary and non-contributing with any other valid </w:t>
      </w:r>
      <w:r w:rsidRPr="00363C5E">
        <w:rPr>
          <w:sz w:val="22"/>
          <w:szCs w:val="22"/>
        </w:rPr>
        <w:tab/>
        <w:t>an</w:t>
      </w:r>
      <w:r w:rsidR="002B676F">
        <w:rPr>
          <w:sz w:val="22"/>
          <w:szCs w:val="22"/>
        </w:rPr>
        <w:t>d collectible insurance or self-</w:t>
      </w:r>
      <w:r w:rsidRPr="00363C5E">
        <w:rPr>
          <w:sz w:val="22"/>
          <w:szCs w:val="22"/>
        </w:rPr>
        <w:t xml:space="preserve">insurance available to the Regents of the University of California, and  </w:t>
      </w:r>
    </w:p>
    <w:p w14:paraId="4182D178" w14:textId="77777777" w:rsidR="00417414" w:rsidRPr="00363C5E" w:rsidRDefault="00417414" w:rsidP="00D24FBD">
      <w:pPr>
        <w:spacing w:before="120"/>
        <w:ind w:left="1440" w:right="720"/>
        <w:jc w:val="both"/>
        <w:rPr>
          <w:sz w:val="22"/>
          <w:szCs w:val="22"/>
        </w:rPr>
      </w:pPr>
      <w:r w:rsidRPr="00363C5E">
        <w:rPr>
          <w:sz w:val="22"/>
          <w:szCs w:val="22"/>
        </w:rPr>
        <w:t>(4) Provide that the inclusion of more than one insured under the policy shall not operate to impair the rights of one insured against another insured, and that the coverages afforded by the insurance, except for the limits of such insurance, shall apply as though separate policies had been issued to each insured.</w:t>
      </w:r>
    </w:p>
    <w:p w14:paraId="548DD9F4" w14:textId="77777777" w:rsidR="00417414" w:rsidRDefault="00417414" w:rsidP="00417414">
      <w:pPr>
        <w:jc w:val="both"/>
        <w:rPr>
          <w:sz w:val="22"/>
          <w:szCs w:val="22"/>
        </w:rPr>
      </w:pPr>
    </w:p>
    <w:p w14:paraId="57D567A4" w14:textId="3FD2574A" w:rsidR="00EF7560" w:rsidRDefault="00417414" w:rsidP="00417414">
      <w:pPr>
        <w:jc w:val="both"/>
        <w:rPr>
          <w:sz w:val="22"/>
          <w:szCs w:val="22"/>
        </w:rPr>
      </w:pPr>
      <w:r w:rsidRPr="00363C5E">
        <w:rPr>
          <w:sz w:val="22"/>
          <w:szCs w:val="22"/>
        </w:rPr>
        <w:t xml:space="preserve">All certificates of insurance should be sent to the UCSC Sponsoring Department </w:t>
      </w:r>
      <w:r w:rsidR="002F7FFB">
        <w:rPr>
          <w:sz w:val="22"/>
          <w:szCs w:val="22"/>
        </w:rPr>
        <w:t>(</w:t>
      </w:r>
      <w:hyperlink r:id="rId6" w:history="1">
        <w:r w:rsidR="002F7FFB" w:rsidRPr="003B6AFD">
          <w:rPr>
            <w:rStyle w:val="Hyperlink"/>
            <w:sz w:val="22"/>
            <w:szCs w:val="22"/>
          </w:rPr>
          <w:t>HHarris2@ucsc.edu)</w:t>
        </w:r>
      </w:hyperlink>
      <w:r w:rsidR="002F7FFB">
        <w:rPr>
          <w:sz w:val="22"/>
          <w:szCs w:val="22"/>
        </w:rPr>
        <w:t xml:space="preserve"> </w:t>
      </w:r>
      <w:r w:rsidRPr="00363C5E">
        <w:rPr>
          <w:sz w:val="22"/>
          <w:szCs w:val="22"/>
        </w:rPr>
        <w:t>with a copy to the Office of Risk Management, University of California Santa Cruz, 1156 Hi</w:t>
      </w:r>
      <w:r w:rsidR="00EF7560">
        <w:rPr>
          <w:sz w:val="22"/>
          <w:szCs w:val="22"/>
        </w:rPr>
        <w:t xml:space="preserve">gh Street, Santa Cruz, CA 95064 </w:t>
      </w:r>
      <w:r w:rsidRPr="00363C5E">
        <w:rPr>
          <w:sz w:val="22"/>
          <w:szCs w:val="22"/>
        </w:rPr>
        <w:t>and</w:t>
      </w:r>
      <w:r w:rsidR="00EF7560">
        <w:rPr>
          <w:sz w:val="22"/>
          <w:szCs w:val="22"/>
        </w:rPr>
        <w:t>,</w:t>
      </w:r>
      <w:r w:rsidRPr="00363C5E">
        <w:rPr>
          <w:sz w:val="22"/>
          <w:szCs w:val="22"/>
        </w:rPr>
        <w:t xml:space="preserve"> </w:t>
      </w:r>
    </w:p>
    <w:p w14:paraId="315F84EE" w14:textId="5AF5078A" w:rsidR="00EF7560" w:rsidRDefault="00417414" w:rsidP="00EF7560">
      <w:pPr>
        <w:ind w:left="720"/>
        <w:jc w:val="both"/>
        <w:rPr>
          <w:sz w:val="22"/>
          <w:szCs w:val="22"/>
        </w:rPr>
      </w:pPr>
      <w:r w:rsidRPr="00363C5E">
        <w:rPr>
          <w:sz w:val="22"/>
          <w:szCs w:val="22"/>
        </w:rPr>
        <w:t xml:space="preserve"> </w:t>
      </w:r>
    </w:p>
    <w:p w14:paraId="71532FB5" w14:textId="77777777" w:rsidR="00EF7560" w:rsidRDefault="00EF7560" w:rsidP="00417414">
      <w:pPr>
        <w:jc w:val="both"/>
        <w:rPr>
          <w:sz w:val="22"/>
          <w:szCs w:val="22"/>
        </w:rPr>
      </w:pPr>
    </w:p>
    <w:p w14:paraId="557E4438" w14:textId="67CF3650" w:rsidR="00EF7560" w:rsidRDefault="00417414" w:rsidP="00417414">
      <w:pPr>
        <w:jc w:val="both"/>
        <w:rPr>
          <w:sz w:val="22"/>
          <w:szCs w:val="22"/>
        </w:rPr>
      </w:pPr>
      <w:r w:rsidRPr="00363C5E">
        <w:rPr>
          <w:sz w:val="22"/>
          <w:szCs w:val="22"/>
        </w:rPr>
        <w:lastRenderedPageBreak/>
        <w:t xml:space="preserve">Any insurance written on a claims made policy form shall provide for not less than three (3) years continuation of coverage following the end of the event or the period of use of UCSC facilities by the </w:t>
      </w:r>
      <w:r>
        <w:rPr>
          <w:sz w:val="22"/>
          <w:szCs w:val="22"/>
        </w:rPr>
        <w:t>VENDOR</w:t>
      </w:r>
      <w:r w:rsidRPr="00363C5E">
        <w:rPr>
          <w:sz w:val="22"/>
          <w:szCs w:val="22"/>
        </w:rPr>
        <w:t xml:space="preserve"> or group, and shall have a retroactive date of placement prior to or coinciding with the first day of such Outside </w:t>
      </w:r>
      <w:r>
        <w:rPr>
          <w:sz w:val="22"/>
          <w:szCs w:val="22"/>
        </w:rPr>
        <w:t>VENDOR</w:t>
      </w:r>
      <w:r w:rsidRPr="00363C5E">
        <w:rPr>
          <w:sz w:val="22"/>
          <w:szCs w:val="22"/>
        </w:rPr>
        <w:t xml:space="preserve">’s or Group’s use of UCSC facilities.  </w:t>
      </w:r>
    </w:p>
    <w:p w14:paraId="680BFA46" w14:textId="77777777" w:rsidR="00EF7560" w:rsidRDefault="00EF7560" w:rsidP="00417414">
      <w:pPr>
        <w:jc w:val="both"/>
        <w:rPr>
          <w:sz w:val="22"/>
          <w:szCs w:val="22"/>
        </w:rPr>
      </w:pPr>
    </w:p>
    <w:p w14:paraId="60EF519C" w14:textId="7504D578" w:rsidR="00417414" w:rsidRPr="002F7FFB" w:rsidRDefault="00417414" w:rsidP="00417414">
      <w:pPr>
        <w:jc w:val="both"/>
        <w:rPr>
          <w:b/>
          <w:sz w:val="22"/>
          <w:szCs w:val="22"/>
          <w:u w:val="single"/>
        </w:rPr>
      </w:pPr>
      <w:r w:rsidRPr="002F7FFB">
        <w:rPr>
          <w:b/>
          <w:sz w:val="22"/>
          <w:szCs w:val="22"/>
          <w:u w:val="single"/>
        </w:rPr>
        <w:t>In addition, if employees of the Outside VENDOR or Group will be on UCSC premises, the Outside VENDOR or Group is required to provide evidence of workers’ compensation coverage in accordance with the Labor Code of the State of California.  If the Outside VENDOR or Group will be operating commercial motor vehicles on UCSC premises the VENDOR or Group must also provide evidence of Business Auto Liability insurance with limits not less than those specified below.</w:t>
      </w:r>
    </w:p>
    <w:p w14:paraId="536E76BB" w14:textId="77777777" w:rsidR="00F63FAB" w:rsidRPr="00363C5E" w:rsidRDefault="00F63FAB" w:rsidP="00417414">
      <w:pPr>
        <w:jc w:val="both"/>
        <w:rPr>
          <w:sz w:val="22"/>
          <w:szCs w:val="22"/>
        </w:rPr>
      </w:pPr>
    </w:p>
    <w:p w14:paraId="581AC40F" w14:textId="77777777" w:rsidR="00417414" w:rsidRPr="00363C5E" w:rsidRDefault="00417414" w:rsidP="00417414">
      <w:pPr>
        <w:jc w:val="both"/>
        <w:rPr>
          <w:b/>
          <w:sz w:val="22"/>
          <w:szCs w:val="22"/>
          <w:u w:val="single"/>
        </w:rPr>
      </w:pPr>
    </w:p>
    <w:p w14:paraId="15E04CFE" w14:textId="77777777" w:rsidR="00417414" w:rsidRPr="008F127C" w:rsidRDefault="00417414" w:rsidP="00417414">
      <w:pPr>
        <w:jc w:val="both"/>
        <w:rPr>
          <w:sz w:val="22"/>
          <w:szCs w:val="20"/>
          <w:u w:val="single"/>
        </w:rPr>
      </w:pPr>
      <w:r w:rsidRPr="008F127C">
        <w:rPr>
          <w:b/>
          <w:sz w:val="22"/>
          <w:szCs w:val="20"/>
          <w:u w:val="single"/>
        </w:rPr>
        <w:t>INSURANCE COVERAGE &amp; LIMIT REQUIREMENTS:</w:t>
      </w:r>
    </w:p>
    <w:p w14:paraId="58F66212" w14:textId="77777777" w:rsidR="00417414" w:rsidRPr="008F127C" w:rsidRDefault="00417414" w:rsidP="00417414">
      <w:pPr>
        <w:jc w:val="both"/>
        <w:rPr>
          <w:b/>
          <w:sz w:val="22"/>
          <w:szCs w:val="20"/>
        </w:rPr>
      </w:pPr>
    </w:p>
    <w:p w14:paraId="7F1D3669" w14:textId="77777777" w:rsidR="00417414" w:rsidRPr="008F127C" w:rsidRDefault="00417414" w:rsidP="00417414">
      <w:pPr>
        <w:jc w:val="both"/>
        <w:rPr>
          <w:b/>
          <w:sz w:val="22"/>
          <w:szCs w:val="20"/>
        </w:rPr>
      </w:pPr>
      <w:r w:rsidRPr="008F127C">
        <w:rPr>
          <w:b/>
          <w:sz w:val="22"/>
          <w:szCs w:val="20"/>
        </w:rPr>
        <w:t xml:space="preserve">General Liability - Comprehensive or Commercial </w:t>
      </w:r>
      <w:proofErr w:type="gramStart"/>
      <w:r w:rsidRPr="008F127C">
        <w:rPr>
          <w:b/>
          <w:sz w:val="22"/>
          <w:szCs w:val="20"/>
        </w:rPr>
        <w:t>For</w:t>
      </w:r>
      <w:proofErr w:type="gramEnd"/>
      <w:r w:rsidRPr="008F127C">
        <w:rPr>
          <w:b/>
          <w:sz w:val="22"/>
          <w:szCs w:val="20"/>
        </w:rPr>
        <w:t xml:space="preserve"> Minimal Limits</w:t>
      </w:r>
    </w:p>
    <w:p w14:paraId="1EBD4D3D" w14:textId="77777777" w:rsidR="00417414" w:rsidRDefault="00417414" w:rsidP="00417414">
      <w:pPr>
        <w:jc w:val="both"/>
        <w:rPr>
          <w:sz w:val="20"/>
          <w:szCs w:val="20"/>
        </w:rPr>
      </w:pPr>
      <w:r w:rsidRPr="008F127C">
        <w:rPr>
          <w:b/>
          <w:sz w:val="22"/>
          <w:szCs w:val="20"/>
        </w:rPr>
        <w:tab/>
      </w:r>
    </w:p>
    <w:tbl>
      <w:tblPr>
        <w:tblW w:w="4400" w:type="pct"/>
        <w:tblCellSpacing w:w="15" w:type="dxa"/>
        <w:tblCellMar>
          <w:top w:w="15" w:type="dxa"/>
          <w:left w:w="15" w:type="dxa"/>
          <w:bottom w:w="15" w:type="dxa"/>
          <w:right w:w="15" w:type="dxa"/>
        </w:tblCellMar>
        <w:tblLook w:val="0000" w:firstRow="0" w:lastRow="0" w:firstColumn="0" w:lastColumn="0" w:noHBand="0" w:noVBand="0"/>
      </w:tblPr>
      <w:tblGrid>
        <w:gridCol w:w="6719"/>
        <w:gridCol w:w="2771"/>
      </w:tblGrid>
      <w:tr w:rsidR="00417414" w:rsidRPr="002C4171" w14:paraId="40A5B3DB" w14:textId="77777777" w:rsidTr="00BA74E8">
        <w:trPr>
          <w:tblCellSpacing w:w="15" w:type="dxa"/>
        </w:trPr>
        <w:tc>
          <w:tcPr>
            <w:tcW w:w="3550" w:type="pct"/>
            <w:tcBorders>
              <w:top w:val="single" w:sz="6" w:space="0" w:color="457AB8"/>
              <w:left w:val="single" w:sz="6" w:space="0" w:color="457AB8"/>
              <w:bottom w:val="single" w:sz="6" w:space="0" w:color="457AB8"/>
              <w:right w:val="single" w:sz="6" w:space="0" w:color="457AB8"/>
            </w:tcBorders>
            <w:tcMar>
              <w:top w:w="30" w:type="dxa"/>
              <w:left w:w="30" w:type="dxa"/>
              <w:bottom w:w="30" w:type="dxa"/>
              <w:right w:w="30" w:type="dxa"/>
            </w:tcMar>
            <w:vAlign w:val="center"/>
          </w:tcPr>
          <w:p w14:paraId="5F48D0A2" w14:textId="77777777" w:rsidR="00417414" w:rsidRPr="002C4171" w:rsidRDefault="00417414" w:rsidP="00BA74E8">
            <w:pPr>
              <w:jc w:val="both"/>
              <w:rPr>
                <w:sz w:val="20"/>
                <w:szCs w:val="20"/>
              </w:rPr>
            </w:pPr>
            <w:r w:rsidRPr="002C4171">
              <w:rPr>
                <w:sz w:val="20"/>
                <w:szCs w:val="20"/>
              </w:rPr>
              <w:t>General Liability – each occurrence</w:t>
            </w:r>
          </w:p>
        </w:tc>
        <w:tc>
          <w:tcPr>
            <w:tcW w:w="1450" w:type="pct"/>
            <w:tcBorders>
              <w:top w:val="single" w:sz="6" w:space="0" w:color="457AB8"/>
              <w:left w:val="single" w:sz="6" w:space="0" w:color="457AB8"/>
              <w:bottom w:val="single" w:sz="6" w:space="0" w:color="457AB8"/>
              <w:right w:val="single" w:sz="6" w:space="0" w:color="457AB8"/>
            </w:tcBorders>
            <w:tcMar>
              <w:top w:w="30" w:type="dxa"/>
              <w:left w:w="30" w:type="dxa"/>
              <w:bottom w:w="30" w:type="dxa"/>
              <w:right w:w="30" w:type="dxa"/>
            </w:tcMar>
            <w:vAlign w:val="center"/>
          </w:tcPr>
          <w:p w14:paraId="0778CEE4" w14:textId="77777777" w:rsidR="00417414" w:rsidRPr="002C4171" w:rsidRDefault="00417414" w:rsidP="00BA74E8">
            <w:pPr>
              <w:jc w:val="right"/>
              <w:rPr>
                <w:sz w:val="20"/>
                <w:szCs w:val="20"/>
              </w:rPr>
            </w:pPr>
            <w:r w:rsidRPr="002C4171">
              <w:rPr>
                <w:sz w:val="20"/>
                <w:szCs w:val="20"/>
              </w:rPr>
              <w:t>$1,000,000</w:t>
            </w:r>
          </w:p>
        </w:tc>
      </w:tr>
      <w:tr w:rsidR="00417414" w:rsidRPr="002C4171" w14:paraId="3EC6CFE8" w14:textId="77777777" w:rsidTr="00BA74E8">
        <w:trPr>
          <w:tblCellSpacing w:w="15" w:type="dxa"/>
        </w:trPr>
        <w:tc>
          <w:tcPr>
            <w:tcW w:w="0" w:type="auto"/>
            <w:tcBorders>
              <w:top w:val="single" w:sz="6" w:space="0" w:color="457AB8"/>
              <w:left w:val="single" w:sz="6" w:space="0" w:color="457AB8"/>
              <w:bottom w:val="single" w:sz="6" w:space="0" w:color="457AB8"/>
              <w:right w:val="single" w:sz="6" w:space="0" w:color="457AB8"/>
            </w:tcBorders>
            <w:tcMar>
              <w:top w:w="30" w:type="dxa"/>
              <w:left w:w="30" w:type="dxa"/>
              <w:bottom w:w="30" w:type="dxa"/>
              <w:right w:w="30" w:type="dxa"/>
            </w:tcMar>
            <w:vAlign w:val="center"/>
          </w:tcPr>
          <w:p w14:paraId="2FF1A6C9" w14:textId="77777777" w:rsidR="00417414" w:rsidRPr="002C4171" w:rsidRDefault="00417414" w:rsidP="00BA74E8">
            <w:pPr>
              <w:jc w:val="both"/>
              <w:rPr>
                <w:sz w:val="20"/>
                <w:szCs w:val="20"/>
              </w:rPr>
            </w:pPr>
            <w:r>
              <w:rPr>
                <w:sz w:val="20"/>
                <w:szCs w:val="20"/>
              </w:rPr>
              <w:t>Products/Complete Operations Aggregate</w:t>
            </w:r>
          </w:p>
        </w:tc>
        <w:tc>
          <w:tcPr>
            <w:tcW w:w="0" w:type="auto"/>
            <w:tcBorders>
              <w:top w:val="single" w:sz="6" w:space="0" w:color="457AB8"/>
              <w:left w:val="single" w:sz="6" w:space="0" w:color="457AB8"/>
              <w:bottom w:val="single" w:sz="6" w:space="0" w:color="457AB8"/>
              <w:right w:val="single" w:sz="6" w:space="0" w:color="457AB8"/>
            </w:tcBorders>
            <w:tcMar>
              <w:top w:w="30" w:type="dxa"/>
              <w:left w:w="30" w:type="dxa"/>
              <w:bottom w:w="30" w:type="dxa"/>
              <w:right w:w="30" w:type="dxa"/>
            </w:tcMar>
            <w:vAlign w:val="center"/>
          </w:tcPr>
          <w:p w14:paraId="649838C5" w14:textId="77777777" w:rsidR="00417414" w:rsidRPr="002C4171" w:rsidRDefault="00417414" w:rsidP="00BA74E8">
            <w:pPr>
              <w:jc w:val="right"/>
              <w:rPr>
                <w:sz w:val="20"/>
                <w:szCs w:val="20"/>
              </w:rPr>
            </w:pPr>
            <w:r>
              <w:rPr>
                <w:sz w:val="20"/>
                <w:szCs w:val="20"/>
              </w:rPr>
              <w:t>$2,000,000</w:t>
            </w:r>
          </w:p>
        </w:tc>
      </w:tr>
      <w:tr w:rsidR="00417414" w:rsidRPr="002C4171" w14:paraId="108A82F0" w14:textId="77777777" w:rsidTr="00BA74E8">
        <w:trPr>
          <w:tblCellSpacing w:w="15" w:type="dxa"/>
        </w:trPr>
        <w:tc>
          <w:tcPr>
            <w:tcW w:w="0" w:type="auto"/>
            <w:tcBorders>
              <w:top w:val="single" w:sz="6" w:space="0" w:color="457AB8"/>
              <w:left w:val="single" w:sz="6" w:space="0" w:color="457AB8"/>
              <w:bottom w:val="single" w:sz="6" w:space="0" w:color="457AB8"/>
              <w:right w:val="single" w:sz="6" w:space="0" w:color="457AB8"/>
            </w:tcBorders>
            <w:tcMar>
              <w:top w:w="30" w:type="dxa"/>
              <w:left w:w="30" w:type="dxa"/>
              <w:bottom w:w="30" w:type="dxa"/>
              <w:right w:w="30" w:type="dxa"/>
            </w:tcMar>
            <w:vAlign w:val="center"/>
          </w:tcPr>
          <w:p w14:paraId="6C22D829" w14:textId="77777777" w:rsidR="00417414" w:rsidRPr="002C4171" w:rsidRDefault="00417414" w:rsidP="00BA74E8">
            <w:pPr>
              <w:jc w:val="both"/>
              <w:rPr>
                <w:sz w:val="20"/>
                <w:szCs w:val="20"/>
              </w:rPr>
            </w:pPr>
            <w:r w:rsidRPr="002C4171">
              <w:rPr>
                <w:sz w:val="20"/>
                <w:szCs w:val="20"/>
              </w:rPr>
              <w:t>Personal and Advertising Injury</w:t>
            </w:r>
          </w:p>
        </w:tc>
        <w:tc>
          <w:tcPr>
            <w:tcW w:w="0" w:type="auto"/>
            <w:tcBorders>
              <w:top w:val="single" w:sz="6" w:space="0" w:color="457AB8"/>
              <w:left w:val="single" w:sz="6" w:space="0" w:color="457AB8"/>
              <w:bottom w:val="single" w:sz="6" w:space="0" w:color="457AB8"/>
              <w:right w:val="single" w:sz="6" w:space="0" w:color="457AB8"/>
            </w:tcBorders>
            <w:tcMar>
              <w:top w:w="30" w:type="dxa"/>
              <w:left w:w="30" w:type="dxa"/>
              <w:bottom w:w="30" w:type="dxa"/>
              <w:right w:w="30" w:type="dxa"/>
            </w:tcMar>
            <w:vAlign w:val="center"/>
          </w:tcPr>
          <w:p w14:paraId="0FCB97C8" w14:textId="77777777" w:rsidR="00417414" w:rsidRPr="002C4171" w:rsidRDefault="00417414" w:rsidP="00BA74E8">
            <w:pPr>
              <w:jc w:val="right"/>
              <w:rPr>
                <w:sz w:val="20"/>
                <w:szCs w:val="20"/>
              </w:rPr>
            </w:pPr>
            <w:r w:rsidRPr="002C4171">
              <w:rPr>
                <w:sz w:val="20"/>
                <w:szCs w:val="20"/>
              </w:rPr>
              <w:t>$1,000,000</w:t>
            </w:r>
          </w:p>
        </w:tc>
      </w:tr>
      <w:tr w:rsidR="00417414" w:rsidRPr="002C4171" w14:paraId="22C8E3E9" w14:textId="77777777" w:rsidTr="00BA74E8">
        <w:trPr>
          <w:tblCellSpacing w:w="15" w:type="dxa"/>
        </w:trPr>
        <w:tc>
          <w:tcPr>
            <w:tcW w:w="0" w:type="auto"/>
            <w:tcBorders>
              <w:top w:val="single" w:sz="6" w:space="0" w:color="457AB8"/>
              <w:left w:val="single" w:sz="6" w:space="0" w:color="457AB8"/>
              <w:bottom w:val="single" w:sz="6" w:space="0" w:color="457AB8"/>
              <w:right w:val="single" w:sz="6" w:space="0" w:color="457AB8"/>
            </w:tcBorders>
            <w:tcMar>
              <w:top w:w="30" w:type="dxa"/>
              <w:left w:w="30" w:type="dxa"/>
              <w:bottom w:w="30" w:type="dxa"/>
              <w:right w:w="30" w:type="dxa"/>
            </w:tcMar>
            <w:vAlign w:val="center"/>
          </w:tcPr>
          <w:p w14:paraId="2CCDFC44" w14:textId="77777777" w:rsidR="00417414" w:rsidRPr="002C4171" w:rsidRDefault="00417414" w:rsidP="00BA74E8">
            <w:pPr>
              <w:jc w:val="both"/>
              <w:rPr>
                <w:sz w:val="20"/>
                <w:szCs w:val="20"/>
              </w:rPr>
            </w:pPr>
            <w:r w:rsidRPr="002C4171">
              <w:rPr>
                <w:sz w:val="20"/>
                <w:szCs w:val="20"/>
              </w:rPr>
              <w:t>General Aggregate</w:t>
            </w:r>
          </w:p>
        </w:tc>
        <w:tc>
          <w:tcPr>
            <w:tcW w:w="0" w:type="auto"/>
            <w:tcBorders>
              <w:top w:val="single" w:sz="6" w:space="0" w:color="457AB8"/>
              <w:left w:val="single" w:sz="6" w:space="0" w:color="457AB8"/>
              <w:bottom w:val="single" w:sz="6" w:space="0" w:color="457AB8"/>
              <w:right w:val="single" w:sz="6" w:space="0" w:color="457AB8"/>
            </w:tcBorders>
            <w:tcMar>
              <w:top w:w="30" w:type="dxa"/>
              <w:left w:w="30" w:type="dxa"/>
              <w:bottom w:w="30" w:type="dxa"/>
              <w:right w:w="30" w:type="dxa"/>
            </w:tcMar>
            <w:vAlign w:val="center"/>
          </w:tcPr>
          <w:p w14:paraId="755396B0" w14:textId="77777777" w:rsidR="00417414" w:rsidRPr="002C4171" w:rsidRDefault="00417414" w:rsidP="00BA74E8">
            <w:pPr>
              <w:jc w:val="right"/>
              <w:rPr>
                <w:sz w:val="20"/>
                <w:szCs w:val="20"/>
              </w:rPr>
            </w:pPr>
            <w:r w:rsidRPr="002C4171">
              <w:rPr>
                <w:sz w:val="20"/>
                <w:szCs w:val="20"/>
              </w:rPr>
              <w:t>$2,000,000</w:t>
            </w:r>
          </w:p>
        </w:tc>
      </w:tr>
      <w:tr w:rsidR="00417414" w:rsidRPr="002C4171" w14:paraId="63DFC5A7" w14:textId="77777777" w:rsidTr="00BA74E8">
        <w:trPr>
          <w:tblCellSpacing w:w="15" w:type="dxa"/>
        </w:trPr>
        <w:tc>
          <w:tcPr>
            <w:tcW w:w="0" w:type="auto"/>
            <w:tcBorders>
              <w:top w:val="single" w:sz="6" w:space="0" w:color="457AB8"/>
              <w:left w:val="single" w:sz="6" w:space="0" w:color="457AB8"/>
              <w:bottom w:val="single" w:sz="6" w:space="0" w:color="457AB8"/>
              <w:right w:val="single" w:sz="6" w:space="0" w:color="457AB8"/>
            </w:tcBorders>
            <w:tcMar>
              <w:top w:w="30" w:type="dxa"/>
              <w:left w:w="30" w:type="dxa"/>
              <w:bottom w:w="30" w:type="dxa"/>
              <w:right w:w="30" w:type="dxa"/>
            </w:tcMar>
            <w:vAlign w:val="center"/>
          </w:tcPr>
          <w:p w14:paraId="0FDC32CC" w14:textId="77777777" w:rsidR="00417414" w:rsidRPr="002C4171" w:rsidRDefault="00417414" w:rsidP="00BA74E8">
            <w:pPr>
              <w:jc w:val="both"/>
              <w:rPr>
                <w:sz w:val="20"/>
                <w:szCs w:val="20"/>
              </w:rPr>
            </w:pPr>
            <w:r w:rsidRPr="002C4171">
              <w:rPr>
                <w:sz w:val="20"/>
                <w:szCs w:val="20"/>
              </w:rPr>
              <w:t xml:space="preserve">For events where </w:t>
            </w:r>
            <w:r w:rsidRPr="002C4171">
              <w:rPr>
                <w:b/>
                <w:bCs/>
                <w:sz w:val="20"/>
                <w:szCs w:val="20"/>
              </w:rPr>
              <w:t>alcohol</w:t>
            </w:r>
            <w:r w:rsidRPr="002C4171">
              <w:rPr>
                <w:sz w:val="20"/>
                <w:szCs w:val="20"/>
              </w:rPr>
              <w:t>, including beer and wine, is being served:</w:t>
            </w:r>
          </w:p>
          <w:p w14:paraId="0D9564B9" w14:textId="77777777" w:rsidR="00417414" w:rsidRPr="002C4171" w:rsidRDefault="00417414" w:rsidP="00BA74E8">
            <w:pPr>
              <w:jc w:val="both"/>
              <w:rPr>
                <w:sz w:val="20"/>
                <w:szCs w:val="20"/>
              </w:rPr>
            </w:pPr>
            <w:r w:rsidRPr="002C4171">
              <w:rPr>
                <w:sz w:val="20"/>
                <w:szCs w:val="20"/>
              </w:rPr>
              <w:t>Host Liquor Liability</w:t>
            </w:r>
            <w:r>
              <w:rPr>
                <w:sz w:val="20"/>
                <w:szCs w:val="20"/>
              </w:rPr>
              <w:t xml:space="preserve"> (for the entities that are serving alcohol)</w:t>
            </w:r>
            <w:r w:rsidRPr="002C4171">
              <w:rPr>
                <w:sz w:val="20"/>
                <w:szCs w:val="20"/>
              </w:rPr>
              <w:t xml:space="preserve"> </w:t>
            </w:r>
          </w:p>
          <w:p w14:paraId="3745D1EB" w14:textId="77777777" w:rsidR="00417414" w:rsidRPr="001D2470" w:rsidRDefault="00417414" w:rsidP="00BA74E8">
            <w:pPr>
              <w:jc w:val="both"/>
              <w:rPr>
                <w:b/>
                <w:sz w:val="20"/>
                <w:szCs w:val="20"/>
              </w:rPr>
            </w:pPr>
            <w:r w:rsidRPr="001D2470">
              <w:rPr>
                <w:b/>
                <w:sz w:val="20"/>
                <w:szCs w:val="20"/>
              </w:rPr>
              <w:t>AND</w:t>
            </w:r>
          </w:p>
          <w:p w14:paraId="0C92ED81" w14:textId="77777777" w:rsidR="00417414" w:rsidRPr="002C4171" w:rsidRDefault="00417414" w:rsidP="00BA74E8">
            <w:pPr>
              <w:jc w:val="both"/>
              <w:rPr>
                <w:sz w:val="20"/>
                <w:szCs w:val="20"/>
              </w:rPr>
            </w:pPr>
            <w:r w:rsidRPr="002C4171">
              <w:rPr>
                <w:sz w:val="20"/>
                <w:szCs w:val="20"/>
              </w:rPr>
              <w:t>Liquor Legal Liability $1,000,000 (to be presented by the caterer for catered events that involve serve of alcohol)</w:t>
            </w:r>
          </w:p>
        </w:tc>
        <w:tc>
          <w:tcPr>
            <w:tcW w:w="0" w:type="auto"/>
            <w:tcBorders>
              <w:top w:val="single" w:sz="6" w:space="0" w:color="457AB8"/>
              <w:left w:val="single" w:sz="6" w:space="0" w:color="457AB8"/>
              <w:bottom w:val="single" w:sz="6" w:space="0" w:color="457AB8"/>
              <w:right w:val="single" w:sz="6" w:space="0" w:color="457AB8"/>
            </w:tcBorders>
            <w:tcMar>
              <w:top w:w="30" w:type="dxa"/>
              <w:left w:w="30" w:type="dxa"/>
              <w:bottom w:w="30" w:type="dxa"/>
              <w:right w:w="30" w:type="dxa"/>
            </w:tcMar>
            <w:vAlign w:val="center"/>
          </w:tcPr>
          <w:p w14:paraId="7BAE2C20" w14:textId="77777777" w:rsidR="00417414" w:rsidRPr="002C4171" w:rsidRDefault="00417414" w:rsidP="00BA74E8">
            <w:pPr>
              <w:jc w:val="right"/>
              <w:rPr>
                <w:sz w:val="20"/>
                <w:szCs w:val="20"/>
              </w:rPr>
            </w:pPr>
            <w:r w:rsidRPr="002C4171">
              <w:rPr>
                <w:sz w:val="20"/>
                <w:szCs w:val="20"/>
              </w:rPr>
              <w:t>$1,000,000</w:t>
            </w:r>
          </w:p>
        </w:tc>
      </w:tr>
    </w:tbl>
    <w:p w14:paraId="1AAE8597" w14:textId="77777777" w:rsidR="00417414" w:rsidRPr="008F127C" w:rsidRDefault="00417414" w:rsidP="00417414">
      <w:pPr>
        <w:jc w:val="both"/>
        <w:rPr>
          <w:b/>
          <w:sz w:val="22"/>
          <w:szCs w:val="20"/>
        </w:rPr>
      </w:pPr>
      <w:r w:rsidRPr="008F127C">
        <w:rPr>
          <w:sz w:val="20"/>
          <w:szCs w:val="20"/>
        </w:rPr>
        <w:tab/>
      </w:r>
    </w:p>
    <w:p w14:paraId="3447B73D" w14:textId="77777777" w:rsidR="00417414" w:rsidRPr="00644815" w:rsidRDefault="00417414" w:rsidP="00417414">
      <w:pPr>
        <w:jc w:val="both"/>
      </w:pPr>
      <w:r w:rsidRPr="00644815">
        <w:rPr>
          <w:b/>
        </w:rPr>
        <w:t>Workers’ Compensation</w:t>
      </w:r>
      <w:r w:rsidRPr="00644815">
        <w:rPr>
          <w:b/>
        </w:rPr>
        <w:tab/>
      </w:r>
      <w:r w:rsidRPr="00644815">
        <w:rPr>
          <w:b/>
        </w:rPr>
        <w:tab/>
      </w:r>
      <w:r w:rsidRPr="00644815">
        <w:rPr>
          <w:b/>
        </w:rPr>
        <w:tab/>
      </w:r>
      <w:r w:rsidRPr="00644815">
        <w:rPr>
          <w:b/>
        </w:rPr>
        <w:tab/>
        <w:t xml:space="preserve">     </w:t>
      </w:r>
      <w:r w:rsidRPr="00644815">
        <w:rPr>
          <w:b/>
        </w:rPr>
        <w:tab/>
      </w:r>
      <w:r w:rsidRPr="00644815">
        <w:rPr>
          <w:b/>
        </w:rPr>
        <w:tab/>
      </w:r>
      <w:r w:rsidRPr="00644815">
        <w:rPr>
          <w:b/>
        </w:rPr>
        <w:tab/>
      </w:r>
      <w:r w:rsidRPr="00644815">
        <w:rPr>
          <w:b/>
        </w:rPr>
        <w:tab/>
      </w:r>
      <w:r w:rsidRPr="00644815">
        <w:rPr>
          <w:b/>
        </w:rPr>
        <w:tab/>
      </w:r>
      <w:r w:rsidRPr="00644815">
        <w:t>Statutory</w:t>
      </w:r>
    </w:p>
    <w:p w14:paraId="3E4D80A4" w14:textId="77777777" w:rsidR="00417414" w:rsidRPr="00644815" w:rsidRDefault="00417414" w:rsidP="00417414">
      <w:pPr>
        <w:jc w:val="both"/>
        <w:rPr>
          <w:b/>
        </w:rPr>
      </w:pPr>
      <w:r w:rsidRPr="00644815">
        <w:rPr>
          <w:b/>
        </w:rPr>
        <w:tab/>
      </w:r>
    </w:p>
    <w:p w14:paraId="3E4CF97B" w14:textId="77777777" w:rsidR="00417414" w:rsidRPr="008F127C" w:rsidRDefault="00417414" w:rsidP="00417414">
      <w:pPr>
        <w:rPr>
          <w:sz w:val="22"/>
          <w:szCs w:val="20"/>
        </w:rPr>
      </w:pPr>
      <w:r w:rsidRPr="00644815">
        <w:rPr>
          <w:b/>
        </w:rPr>
        <w:t>Auto Liability - Comprehensive Form</w:t>
      </w:r>
      <w:r w:rsidRPr="00644815">
        <w:rPr>
          <w:b/>
        </w:rPr>
        <w:tab/>
      </w:r>
      <w:r w:rsidRPr="00644815">
        <w:rPr>
          <w:b/>
        </w:rPr>
        <w:tab/>
        <w:t xml:space="preserve">    </w:t>
      </w:r>
      <w:r w:rsidRPr="00644815">
        <w:rPr>
          <w:b/>
        </w:rPr>
        <w:tab/>
      </w:r>
      <w:r w:rsidRPr="00644815">
        <w:rPr>
          <w:b/>
        </w:rPr>
        <w:tab/>
      </w:r>
      <w:r w:rsidRPr="00644815">
        <w:rPr>
          <w:b/>
        </w:rPr>
        <w:tab/>
      </w:r>
      <w:r w:rsidRPr="00644815">
        <w:rPr>
          <w:b/>
        </w:rPr>
        <w:tab/>
        <w:t xml:space="preserve">          </w:t>
      </w:r>
      <w:r w:rsidRPr="00644815">
        <w:t>$1,000,000</w:t>
      </w:r>
      <w:r w:rsidRPr="008F127C">
        <w:rPr>
          <w:sz w:val="22"/>
          <w:szCs w:val="20"/>
        </w:rPr>
        <w:t xml:space="preserve"> </w:t>
      </w:r>
    </w:p>
    <w:p w14:paraId="2A0BBEB9" w14:textId="77777777" w:rsidR="00417414" w:rsidRPr="00644815" w:rsidRDefault="00417414" w:rsidP="00417414">
      <w:pPr>
        <w:jc w:val="both"/>
        <w:rPr>
          <w:szCs w:val="20"/>
        </w:rPr>
      </w:pPr>
      <w:r w:rsidRPr="00644815">
        <w:rPr>
          <w:szCs w:val="20"/>
        </w:rPr>
        <w:t>Combined single limit each occurrence for bodily injury and property damage covering all owned, non-owned and hired vehicles.</w:t>
      </w:r>
    </w:p>
    <w:p w14:paraId="1FA08D49" w14:textId="77777777" w:rsidR="00417414" w:rsidRDefault="00417414" w:rsidP="00417414"/>
    <w:p w14:paraId="3AE1879A" w14:textId="77777777" w:rsidR="003521FB" w:rsidRPr="003521FB" w:rsidRDefault="003521FB" w:rsidP="003521FB">
      <w:pPr>
        <w:widowControl w:val="0"/>
        <w:autoSpaceDE w:val="0"/>
        <w:autoSpaceDN w:val="0"/>
        <w:adjustRightInd w:val="0"/>
        <w:rPr>
          <w:rFonts w:ascii="Palatino" w:hAnsi="Palatino" w:cs="Arial"/>
          <w:color w:val="FF0000"/>
          <w:sz w:val="32"/>
          <w:szCs w:val="32"/>
        </w:rPr>
      </w:pPr>
      <w:r w:rsidRPr="003521FB">
        <w:rPr>
          <w:rFonts w:ascii="Palatino" w:hAnsi="Palatino" w:cs="Arial"/>
          <w:color w:val="FF0000"/>
          <w:sz w:val="32"/>
          <w:szCs w:val="32"/>
        </w:rPr>
        <w:t>Vendor Certificate of Insurance available here:</w:t>
      </w:r>
    </w:p>
    <w:p w14:paraId="35A61C69" w14:textId="791BF93B" w:rsidR="003521FB" w:rsidRPr="003521FB" w:rsidRDefault="003521FB" w:rsidP="003521FB">
      <w:pPr>
        <w:widowControl w:val="0"/>
        <w:autoSpaceDE w:val="0"/>
        <w:autoSpaceDN w:val="0"/>
        <w:adjustRightInd w:val="0"/>
        <w:rPr>
          <w:rFonts w:ascii="Palatino" w:hAnsi="Palatino" w:cs="Arial"/>
          <w:color w:val="000000" w:themeColor="text1"/>
          <w:sz w:val="32"/>
          <w:szCs w:val="32"/>
        </w:rPr>
      </w:pPr>
      <w:r w:rsidRPr="003521FB">
        <w:rPr>
          <w:rFonts w:ascii="Palatino" w:hAnsi="Palatino" w:cs="Arial"/>
          <w:color w:val="000000" w:themeColor="text1"/>
          <w:sz w:val="32"/>
          <w:szCs w:val="32"/>
          <w:shd w:val="clear" w:color="auto" w:fill="FFFFFF"/>
        </w:rPr>
        <w:t> </w:t>
      </w:r>
      <w:hyperlink r:id="rId7" w:tgtFrame="_blank" w:history="1">
        <w:r w:rsidRPr="003521FB">
          <w:rPr>
            <w:rStyle w:val="Hyperlink"/>
            <w:rFonts w:ascii="Palatino" w:hAnsi="Palatino" w:cs="Arial"/>
            <w:color w:val="1155CC"/>
            <w:sz w:val="32"/>
            <w:szCs w:val="32"/>
          </w:rPr>
          <w:t>http://ucsc.campusconnexionsuc.com/Constituency/Vendors-and-Contractors</w:t>
        </w:r>
      </w:hyperlink>
      <w:r w:rsidRPr="003521FB">
        <w:rPr>
          <w:rFonts w:ascii="Palatino" w:hAnsi="Palatino" w:cs="Arial"/>
          <w:color w:val="222222"/>
          <w:sz w:val="32"/>
          <w:szCs w:val="32"/>
          <w:shd w:val="clear" w:color="auto" w:fill="FFFFFF"/>
        </w:rPr>
        <w:t> </w:t>
      </w:r>
    </w:p>
    <w:p w14:paraId="409CC8A7" w14:textId="77777777" w:rsidR="003521FB" w:rsidRPr="003521FB" w:rsidRDefault="003521FB" w:rsidP="003521FB">
      <w:pPr>
        <w:widowControl w:val="0"/>
        <w:autoSpaceDE w:val="0"/>
        <w:autoSpaceDN w:val="0"/>
        <w:adjustRightInd w:val="0"/>
        <w:ind w:left="1080"/>
        <w:rPr>
          <w:rFonts w:ascii="Palatino" w:hAnsi="Palatino" w:cs="Arial"/>
          <w:color w:val="4BACC6" w:themeColor="accent5"/>
          <w:sz w:val="32"/>
          <w:szCs w:val="32"/>
        </w:rPr>
      </w:pPr>
    </w:p>
    <w:p w14:paraId="7764A58E" w14:textId="1323E420" w:rsidR="003521FB" w:rsidRDefault="00042FDA" w:rsidP="00417414">
      <w:r>
        <w:t>*Vendors can forward this document to their insurance agent directly for COI processing!</w:t>
      </w:r>
    </w:p>
    <w:p w14:paraId="6AE18294" w14:textId="77777777" w:rsidR="00042FDA" w:rsidRDefault="00042FDA" w:rsidP="00417414"/>
    <w:p w14:paraId="6B302322" w14:textId="77777777" w:rsidR="003521FB" w:rsidRDefault="003521FB" w:rsidP="00417414"/>
    <w:p w14:paraId="6D58E755" w14:textId="77777777" w:rsidR="00417414" w:rsidRPr="00644815" w:rsidRDefault="00417414" w:rsidP="00417414">
      <w:pPr>
        <w:jc w:val="both"/>
      </w:pPr>
      <w:r w:rsidRPr="00644815">
        <w:t xml:space="preserve">For further information or clarification, please contact UCSC Risk Services: </w:t>
      </w:r>
      <w:hyperlink r:id="rId8" w:history="1">
        <w:r w:rsidRPr="00644815">
          <w:rPr>
            <w:rStyle w:val="Hyperlink"/>
          </w:rPr>
          <w:t>jyeager@ucsc.edu</w:t>
        </w:r>
      </w:hyperlink>
    </w:p>
    <w:p w14:paraId="06AFA277" w14:textId="77777777" w:rsidR="00417414" w:rsidRDefault="00417414" w:rsidP="00417414">
      <w:pPr>
        <w:jc w:val="both"/>
        <w:rPr>
          <w:sz w:val="22"/>
          <w:szCs w:val="22"/>
        </w:rPr>
      </w:pPr>
    </w:p>
    <w:p w14:paraId="1AF86901" w14:textId="77777777" w:rsidR="00417414" w:rsidRDefault="00417414" w:rsidP="00417414"/>
    <w:p w14:paraId="46E10090" w14:textId="77777777" w:rsidR="00417414" w:rsidRDefault="00417414" w:rsidP="00417414"/>
    <w:p w14:paraId="40DF6CCE" w14:textId="77777777" w:rsidR="00A222E6" w:rsidRDefault="00A222E6"/>
    <w:sectPr w:rsidR="00A222E6" w:rsidSect="00C700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D5549"/>
    <w:multiLevelType w:val="hybridMultilevel"/>
    <w:tmpl w:val="18A00D6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9FF1EA9"/>
    <w:multiLevelType w:val="hybridMultilevel"/>
    <w:tmpl w:val="6994AF10"/>
    <w:lvl w:ilvl="0" w:tplc="0409000F">
      <w:start w:val="1"/>
      <w:numFmt w:val="decimal"/>
      <w:lvlText w:val="%1."/>
      <w:lvlJc w:val="left"/>
      <w:pPr>
        <w:ind w:left="8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BD92589"/>
    <w:multiLevelType w:val="hybridMultilevel"/>
    <w:tmpl w:val="43568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14"/>
    <w:rsid w:val="00042FDA"/>
    <w:rsid w:val="00052F16"/>
    <w:rsid w:val="00080C5F"/>
    <w:rsid w:val="000974B8"/>
    <w:rsid w:val="001711FE"/>
    <w:rsid w:val="00222550"/>
    <w:rsid w:val="00290A37"/>
    <w:rsid w:val="00293146"/>
    <w:rsid w:val="002B676F"/>
    <w:rsid w:val="002D34F5"/>
    <w:rsid w:val="002F7FFB"/>
    <w:rsid w:val="003343C3"/>
    <w:rsid w:val="003521FB"/>
    <w:rsid w:val="00417414"/>
    <w:rsid w:val="00437DED"/>
    <w:rsid w:val="0048136A"/>
    <w:rsid w:val="00496522"/>
    <w:rsid w:val="004F7C9B"/>
    <w:rsid w:val="006A224E"/>
    <w:rsid w:val="0075126D"/>
    <w:rsid w:val="007F1C9A"/>
    <w:rsid w:val="008B71BF"/>
    <w:rsid w:val="009A4C07"/>
    <w:rsid w:val="00A222E6"/>
    <w:rsid w:val="00A75AF7"/>
    <w:rsid w:val="00C07DBF"/>
    <w:rsid w:val="00C7004E"/>
    <w:rsid w:val="00D214CA"/>
    <w:rsid w:val="00D24FBD"/>
    <w:rsid w:val="00DD2AD1"/>
    <w:rsid w:val="00EF0777"/>
    <w:rsid w:val="00EF7560"/>
    <w:rsid w:val="00F6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62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74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7414"/>
    <w:rPr>
      <w:rFonts w:cs="Times New Roman"/>
      <w:color w:val="0000FF"/>
      <w:u w:val="single"/>
    </w:rPr>
  </w:style>
  <w:style w:type="paragraph" w:styleId="ListParagraph">
    <w:name w:val="List Paragraph"/>
    <w:basedOn w:val="Normal"/>
    <w:uiPriority w:val="34"/>
    <w:qFormat/>
    <w:rsid w:val="008B71BF"/>
    <w:pPr>
      <w:ind w:left="720"/>
      <w:contextualSpacing/>
    </w:pPr>
  </w:style>
  <w:style w:type="paragraph" w:styleId="BalloonText">
    <w:name w:val="Balloon Text"/>
    <w:basedOn w:val="Normal"/>
    <w:link w:val="BalloonTextChar"/>
    <w:uiPriority w:val="99"/>
    <w:semiHidden/>
    <w:unhideWhenUsed/>
    <w:rsid w:val="00C0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D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Harris2@ucsc.edu)" TargetMode="External"/><Relationship Id="rId7" Type="http://schemas.openxmlformats.org/officeDocument/2006/relationships/hyperlink" Target="http://ucsc.campusconnexionsuc.com/Constituency/Vendors-and-Contractors" TargetMode="External"/><Relationship Id="rId8" Type="http://schemas.openxmlformats.org/officeDocument/2006/relationships/hyperlink" Target="mailto:jyeager@ucsc.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C66F58-2BD4-B54C-9E9A-0E640B99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850</Words>
  <Characters>4847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Robertson</dc:creator>
  <cp:keywords/>
  <dc:description/>
  <cp:lastModifiedBy>Microsoft Office User</cp:lastModifiedBy>
  <cp:revision>3</cp:revision>
  <dcterms:created xsi:type="dcterms:W3CDTF">2019-04-05T20:12:00Z</dcterms:created>
  <dcterms:modified xsi:type="dcterms:W3CDTF">2019-04-05T20:14:00Z</dcterms:modified>
</cp:coreProperties>
</file>